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2B9C" w:rsidRPr="001F2DAC" w:rsidRDefault="00E82B9C" w:rsidP="001F2DAC">
      <w:pPr>
        <w:jc w:val="center"/>
        <w:rPr>
          <w:rFonts w:ascii="Garamond" w:hAnsi="Garamond"/>
          <w:b/>
          <w:bCs/>
          <w:sz w:val="40"/>
          <w:szCs w:val="40"/>
        </w:rPr>
      </w:pPr>
      <w:r w:rsidRPr="001F2DAC">
        <w:rPr>
          <w:rFonts w:ascii="Garamond" w:hAnsi="Garamond"/>
          <w:b/>
          <w:bCs/>
          <w:sz w:val="40"/>
          <w:szCs w:val="40"/>
        </w:rPr>
        <w:t>AI, Robotics, and the Future Learner: Implications for Critical Thinking, Collaboration, and Motivation in Education</w:t>
      </w:r>
    </w:p>
    <w:p w:rsidR="00E82B9C" w:rsidRDefault="00E82B9C" w:rsidP="00E82B9C">
      <w:pPr>
        <w:jc w:val="center"/>
      </w:pPr>
      <w:r w:rsidRPr="00E82B9C">
        <w:rPr>
          <w:b/>
          <w:bCs/>
        </w:rPr>
        <w:t>Davendra Sharma</w:t>
      </w:r>
      <w:r w:rsidRPr="00E82B9C">
        <w:br/>
        <w:t>Lecturer and PhD Scholar, University of Fiji, Fiji Islands</w:t>
      </w:r>
      <w:r w:rsidRPr="00E82B9C">
        <w:br/>
      </w:r>
      <w:hyperlink r:id="rId5" w:history="1">
        <w:r w:rsidRPr="005C141A">
          <w:rPr>
            <w:rStyle w:val="Hyperlink"/>
          </w:rPr>
          <w:t>davendras@unifiji.ac.fj</w:t>
        </w:r>
      </w:hyperlink>
    </w:p>
    <w:p w:rsidR="00E82B9C" w:rsidRDefault="00E82B9C" w:rsidP="00E82B9C">
      <w:pPr>
        <w:jc w:val="center"/>
      </w:pPr>
    </w:p>
    <w:p w:rsidR="00E82B9C" w:rsidRPr="00E82B9C" w:rsidRDefault="00E82B9C" w:rsidP="00E82B9C">
      <w:r>
        <w:rPr>
          <w:b/>
          <w:bCs/>
          <w:i/>
          <w:iCs/>
        </w:rPr>
        <w:t xml:space="preserve">1.0 </w:t>
      </w:r>
      <w:r w:rsidRPr="00E82B9C">
        <w:rPr>
          <w:b/>
          <w:bCs/>
          <w:i/>
          <w:iCs/>
        </w:rPr>
        <w:t>ABSTRACT</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i/>
          <w:iCs/>
        </w:rPr>
        <w:t>The integration of artificial intelligence (AI) and robotics is transforming learning, teaching, and human development. As technologies mediate knowledge acquisition, assessment, and collaboration, educators must ensure learners develop digital fluency alongside critical thinking, collaboration, and intrinsic motivation (</w:t>
      </w:r>
      <w:proofErr w:type="spellStart"/>
      <w:r w:rsidRPr="00E82B9C">
        <w:rPr>
          <w:rFonts w:ascii="Times New Roman" w:hAnsi="Times New Roman" w:cs="Times New Roman"/>
          <w:i/>
          <w:iCs/>
        </w:rPr>
        <w:t>Luckin</w:t>
      </w:r>
      <w:proofErr w:type="spellEnd"/>
      <w:r w:rsidRPr="00E82B9C">
        <w:rPr>
          <w:rFonts w:ascii="Times New Roman" w:hAnsi="Times New Roman" w:cs="Times New Roman"/>
          <w:i/>
          <w:iCs/>
        </w:rPr>
        <w:t xml:space="preserve"> et al., 2022; OECD, 2023). Drawing on constructivist and human capital theories, this paper examines AI and robotics as both pedagogical enhancers and cognitive disruptors (Holmes et al., 2021; Seldon &amp; Abidoye, 2023). Effective integration requires curricula emphasizing metacognition, ethical reasoning, and collaborative problem-solving. AI can catalyse student-centred inquiry, while robotics fosters experiential learning, computational thinking, and teamwork (Eguchi, 2021; </w:t>
      </w:r>
      <w:proofErr w:type="spellStart"/>
      <w:r w:rsidRPr="00E82B9C">
        <w:rPr>
          <w:rFonts w:ascii="Times New Roman" w:hAnsi="Times New Roman" w:cs="Times New Roman"/>
          <w:i/>
          <w:iCs/>
        </w:rPr>
        <w:t>Papavlasopoulou</w:t>
      </w:r>
      <w:proofErr w:type="spellEnd"/>
      <w:r w:rsidRPr="00E82B9C">
        <w:rPr>
          <w:rFonts w:ascii="Times New Roman" w:hAnsi="Times New Roman" w:cs="Times New Roman"/>
          <w:i/>
          <w:iCs/>
        </w:rPr>
        <w:t xml:space="preserve"> et al., 2022). In Fiji and the Pacific, AI offers opportunities to bridge digital divides and embed cultural values, but inequitable access may exacerbate inequalities (Lingam &amp; Sharma, 2023; Thaman, 2021). The paper proposes an “AI-integrated humanistic education” framework prioritising creativity, empathy, and ethical intelligence alongside digital skills.</w:t>
      </w:r>
    </w:p>
    <w:p w:rsidR="00E82B9C" w:rsidRPr="00E82B9C" w:rsidRDefault="00E82B9C" w:rsidP="00E82B9C">
      <w:r w:rsidRPr="00E82B9C">
        <w:rPr>
          <w:b/>
          <w:bCs/>
          <w:i/>
          <w:iCs/>
        </w:rPr>
        <w:t>KEYWORDS</w:t>
      </w:r>
    </w:p>
    <w:p w:rsidR="00E82B9C" w:rsidRPr="00E82B9C" w:rsidRDefault="00E82B9C" w:rsidP="00E82B9C">
      <w:r w:rsidRPr="00E82B9C">
        <w:rPr>
          <w:i/>
          <w:iCs/>
        </w:rPr>
        <w:t>Artificial Intelligence, Robotics, Critical Thinking, Collaboration, Motivation</w:t>
      </w:r>
    </w:p>
    <w:p w:rsidR="001F2DAC" w:rsidRDefault="001F2DAC" w:rsidP="00E82B9C">
      <w:pPr>
        <w:rPr>
          <w:b/>
          <w:bCs/>
        </w:rPr>
      </w:pPr>
    </w:p>
    <w:p w:rsidR="00E82B9C" w:rsidRPr="00E82B9C" w:rsidRDefault="00E82B9C" w:rsidP="00E82B9C">
      <w:r w:rsidRPr="00E82B9C">
        <w:rPr>
          <w:b/>
          <w:bCs/>
        </w:rPr>
        <w:t>2.0 INTRODUCTION</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 xml:space="preserve">The rapid advancement of artificial intelligence (AI) and robotics is redefining what it means to learn, teach, and think in the 21st century. Education systems worldwide are confronting the transformative potential of intelligent technologies that are increasingly capable of performing cognitive, analytical, and creative tasks once considered uniquely human (OECD, 2023; UNESCO, 2024). From adaptive learning platforms and AI tutors to humanoid robots assisting in classrooms, these innovations have reconfigured how learners access knowledge, engage in collaboration, and develop motivation for lifelong learning (Holmes et al., 2021; </w:t>
      </w:r>
      <w:proofErr w:type="spellStart"/>
      <w:r w:rsidRPr="00E82B9C">
        <w:rPr>
          <w:rFonts w:ascii="Times New Roman" w:hAnsi="Times New Roman" w:cs="Times New Roman"/>
        </w:rPr>
        <w:t>Luckin</w:t>
      </w:r>
      <w:proofErr w:type="spellEnd"/>
      <w:r w:rsidRPr="00E82B9C">
        <w:rPr>
          <w:rFonts w:ascii="Times New Roman" w:hAnsi="Times New Roman" w:cs="Times New Roman"/>
        </w:rPr>
        <w:t xml:space="preserve"> et al., 2022). Consequently, educators, policymakers, and researchers are being challenged to rethink the aims and values of education in an era when machines not only augment human cognition but also shape the way knowledge and creativity are produced and shared.</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lastRenderedPageBreak/>
        <w:t xml:space="preserve">AI and robotics have shown considerable promise in enhancing critical thinking and collaborative problem-solving, key competencies in the Fourth and emerging Fifth Industrial Revolutions (Schwab &amp; </w:t>
      </w:r>
      <w:proofErr w:type="spellStart"/>
      <w:r w:rsidRPr="00E82B9C">
        <w:rPr>
          <w:rFonts w:ascii="Times New Roman" w:hAnsi="Times New Roman" w:cs="Times New Roman"/>
        </w:rPr>
        <w:t>Malleret</w:t>
      </w:r>
      <w:proofErr w:type="spellEnd"/>
      <w:r w:rsidRPr="00E82B9C">
        <w:rPr>
          <w:rFonts w:ascii="Times New Roman" w:hAnsi="Times New Roman" w:cs="Times New Roman"/>
        </w:rPr>
        <w:t xml:space="preserve">, 2023). For instance, AI-powered systems can personalize learning pathways, provide instant feedback, and promote analytical reasoning through adaptive questioning and simulation-based tasks (Zawacki-Richter et al., 2022). Robotics education, meanwhile, engages students in hands-on learning experiences that merge science, engineering, creativity, and teamwork (Eguchi, 2021; </w:t>
      </w:r>
      <w:proofErr w:type="spellStart"/>
      <w:r w:rsidRPr="00E82B9C">
        <w:rPr>
          <w:rFonts w:ascii="Times New Roman" w:hAnsi="Times New Roman" w:cs="Times New Roman"/>
        </w:rPr>
        <w:t>Papavlasopoulou</w:t>
      </w:r>
      <w:proofErr w:type="spellEnd"/>
      <w:r w:rsidRPr="00E82B9C">
        <w:rPr>
          <w:rFonts w:ascii="Times New Roman" w:hAnsi="Times New Roman" w:cs="Times New Roman"/>
        </w:rPr>
        <w:t xml:space="preserve"> et al., 2022). Such integration fosters deeper metacognitive engagement and collective problem-solving, thereby cultivating both cognitive and socio-emotional growth (Voogt &amp; Roblin, 2023). However, scholars caution that without intentional pedagogical design, overreliance on AI can diminish intrinsic motivation, creativity, and independent critical reasoning (Seldon &amp; Abidoye, 2023).</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 xml:space="preserve">This paradox underscores the urgent need to balance technological innovation with humanistic and constructivist educational principles. As AI systems become more sophisticated, the purpose of education must shift from rote memorization toward nurturing learners who can think critically, act ethically, and collaborate meaningfully in human–machine ecosystems (Selwyn, 2022). Constructivist theorists argue that learners construct knowledge through active inquiry, reflection, and social interaction, processes that AI and robotics can either support or undermine depending on their design and implementation (Vygotsky, 1978; Piaget, 1973; </w:t>
      </w:r>
      <w:proofErr w:type="spellStart"/>
      <w:r w:rsidRPr="00E82B9C">
        <w:rPr>
          <w:rFonts w:ascii="Times New Roman" w:hAnsi="Times New Roman" w:cs="Times New Roman"/>
        </w:rPr>
        <w:t>Luckin</w:t>
      </w:r>
      <w:proofErr w:type="spellEnd"/>
      <w:r w:rsidRPr="00E82B9C">
        <w:rPr>
          <w:rFonts w:ascii="Times New Roman" w:hAnsi="Times New Roman" w:cs="Times New Roman"/>
        </w:rPr>
        <w:t xml:space="preserve"> et al., 2022). When strategically employed, these technologies can provide authentic, inquiry-based learning environments that strengthen metacognitive awareness, motivation, and teamwork (UNESCO, 2024).</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In the Pacific context, particularly in Fiji, the integration of AI and robotics presents unique challenges and opportunities. Pacific Island nations face persistent digital inequities due to infrastructural constraints, limited teacher digital capacity, and socio-cultural factors influencing technology adoption (Lingam &amp; Sharma, 2023; SPC, 2023). At the same time, the region’s emphasis on communal values, cultural respect, and interdependence offers fertile ground for developing an ethically grounded, culturally responsive approach to AI integration in education (Thaman, 2021). For Fiji, reimagining education through AI and robotics must not only enhance students’ employability and innovation potential but also reinforce indigenous and multicultural values that nurture empathy, cooperation, and collective resilience (Koya-</w:t>
      </w:r>
      <w:proofErr w:type="spellStart"/>
      <w:r w:rsidRPr="00E82B9C">
        <w:rPr>
          <w:rFonts w:ascii="Times New Roman" w:hAnsi="Times New Roman" w:cs="Times New Roman"/>
        </w:rPr>
        <w:t>Vaka’uta</w:t>
      </w:r>
      <w:proofErr w:type="spellEnd"/>
      <w:r w:rsidRPr="00E82B9C">
        <w:rPr>
          <w:rFonts w:ascii="Times New Roman" w:hAnsi="Times New Roman" w:cs="Times New Roman"/>
        </w:rPr>
        <w:t xml:space="preserve"> &amp; Lingam, 2023).</w:t>
      </w:r>
    </w:p>
    <w:p w:rsidR="00E82B9C" w:rsidRDefault="00E82B9C" w:rsidP="00E82B9C">
      <w:pPr>
        <w:jc w:val="both"/>
        <w:rPr>
          <w:rFonts w:ascii="Times New Roman" w:hAnsi="Times New Roman" w:cs="Times New Roman"/>
        </w:rPr>
      </w:pPr>
      <w:r w:rsidRPr="00E82B9C">
        <w:rPr>
          <w:rFonts w:ascii="Times New Roman" w:hAnsi="Times New Roman" w:cs="Times New Roman"/>
        </w:rPr>
        <w:t>Thus, this paper explores the implications of AI and robotics on students’ critical thinking, collaboration, and motivation, framed through constructivist learning theory and human capital theory. It argues that while AI and robotics can serve as catalysts for inquiry-based, collaborative learning, their integration must be guided by ethical, cultural, and pedagogical considerations. By examining current research and contextual realities, this study seeks to contribute to ongoing debates about how education systems, particularly in small island developing states like Fiji, can prepare learners not just to coexist with intelligent machines, but to lead human-centred innovation in a rapidly transforming world.</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3.0 LITERATURE REVIEW</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3.1 Overview: AI, Robotics, and Shifts in Educational Aims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lastRenderedPageBreak/>
        <w:t xml:space="preserve">The integration of artificial intelligence (AI) and robotics in education is accelerating from isolated pilot projects to system-level experimentation, prompting reconsideration of learning goals, pedagogy, and assessment. Scholars argue that AI-driven tools (adaptive tutors, analytics, automated feedback) and robotics (educational robots, maker-education kits) can both augment pedagogical practice and reconfigure what we value as learning outcomes, shifting attention toward higher-order thinking, collaboration, and motivation-related constructs (Holmes et al., 2019; </w:t>
      </w:r>
      <w:proofErr w:type="spellStart"/>
      <w:r w:rsidRPr="00E82B9C">
        <w:rPr>
          <w:rFonts w:ascii="Times New Roman" w:hAnsi="Times New Roman" w:cs="Times New Roman"/>
        </w:rPr>
        <w:t>Luckin</w:t>
      </w:r>
      <w:proofErr w:type="spellEnd"/>
      <w:r w:rsidRPr="00E82B9C">
        <w:rPr>
          <w:rFonts w:ascii="Times New Roman" w:hAnsi="Times New Roman" w:cs="Times New Roman"/>
        </w:rPr>
        <w:t xml:space="preserve"> et al., 2022). At the same time, systematic reviews show the field is heterogeneous, promising evidence exists, but findings are context-dependent and often uneven in methodological quality.</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3.2 AI in Education: Effects on Critical Thinking</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A large and growing body of work examines AI’s potential to support critical thinking by providing personalized, formative feedback, adaptive scaffolds, and problem-rich environments that challenge learners’ reasoning. Systematic reviews indicate AI systems can scaffold inquiry by dynamically adjusting question difficulty, offering hints, and presenting simulations that require analytical judgments (Zawacki-Richter et al., 2019; Wang, 2024). However, reviewers caution that positive effects on higher-order skills are contingent on pedagogical design; AI must be embedded in tasks that require metacognition, reflection, and transfer rather than simply delivering procedural practice (Zawacki-Richter et al., 2019; Wang, 2024).</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Critical studies also warn of risks: AI can inadvertently promote shallow engagement if learners treat recommendations and automated answers as substitutes for reasoning, leading to potential erosion of independent critical faculties (Selwyn, 2022). Thus, the literature emphasizes that AI is neither a panacea nor neutral; its impact on critical thinking is mediated by curriculum design, teacher facilitation, and assessment practices.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3.3 Robotics and Experiential Learning: Collaboration and Soft Skills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Educational robotics has an established track record in promoting experiential and constructionist learning, which in turn supports collaboration, problem-solving, and creativity. Multiple systematic and empirical studies report that robotics activities, especially team-based, project-oriented tasks, foster communication, role-taking, persistence, and collective problem solving (Eguchi, 2013; Frontiers Review, 2022). Evidence from recent meta-analyses suggests robotics can strengthen 21st-century competencies but also flag cases where cognitive load or poor integration reduced learning gains.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Innovations such as inclusive robotics education and EU-funded projects (e.g., INBOTS) underscore that properly scaffolded robotics curricula can be accessible across abilities and support socio-emotional inclusion, not just STEM skills (INBOTS synthesis). The literature therefore positions robotics as a powerful vehicle for collaborative, project-based learning, provided design is inclusive and aligned with explicit soft-skill outcomes.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3.4 Motivation, Engagement, and Affective Dimensions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lastRenderedPageBreak/>
        <w:t>Motivation is central to learning, and both AI and robotics are frequently studied for their capacity to increase engagement. Adaptive systems that personalize challenge levels and robotics activities that provide tangible, playful outcomes have been associated with increased interest, persistence, and enjoyment (Frontiers Review; Eguchi, 2014). However, recent case studies and investigative reporting also surface harms: overly gamified or metric-driven platforms can undermine intrinsic motivation by shifting focus to scores, rewards, or system-defined “progress” (Wired reporting on intensive AI-driven schools; critiques by Selwyn). Designers must balance extrinsic engagement strategies with pedagogies that foster autonomy, mastery, and purpose.</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3.5 Pedagogical Mediators: Constructivism, Metacognition, and Teacher Role</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Constructivist perspectives predominate in the literature as the recommended orientation for AI/robotics integration: technologies should enable learners to construct knowledge through active inquiry, collaboration, and reflection (Vygotsky, 1978; Piaget, 1973). Multiple authors emphasize metacognitive prompts, teacher mediation, and reflective cycles as necessary mediators for AI to enhance critical thinking and motivation. Teachers thus shift from information deliverers to orchestrators of learning experiences, designing tasks where AI/robots serve specific scaffolding functions rather than replacing human judgment.</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3.6 Equity, Access, and Context: The Pacific and Fiji</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Regional analyses caution that the benefits of AI and robotics are unevenly distributed: infrastructure gaps, limited teacher preparedness, and contextual misalignment may widen inequalities if technology is rolled out without supportive policies (Pacific digital reports). Pacific scholarship also stresses cultural values, communal learning, respect, and relational knowledge, which should shape how AI/robotics are framed pedagogically (Thaman, 2021; Lingam &amp; Sharma, 2023). In Fiji specifically, implementing AI-driven approaches requires culturally responsive models, investment in teacher training, and localized content to avoid exacerbating the digital divide and to align with community educational aims.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3.7 Ethical, Assessment, and Research Gaps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The literature identifies several pressing gaps: robust longitudinal studies on AI/robotics effects on deep critical thinking and socio-emotional skills are limited; assessment frameworks for measuring soft skills in AI-mediated environments are underdeveloped; and ethical concerns about data privacy, algorithmic bias, and surveillance in educational technologies need urgent attention (Holmes et al., 2019; Selwyn, 2022; Wang, 2024). These gaps point to the need for interdisciplinary research agendas combining educational design, sociotechnical critique, and culturally grounded evaluation methods.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3.8 Synthesis and Implications for the Present Study</w:t>
      </w:r>
    </w:p>
    <w:p w:rsidR="00E82B9C" w:rsidRDefault="00E82B9C" w:rsidP="00E82B9C">
      <w:pPr>
        <w:jc w:val="both"/>
        <w:rPr>
          <w:rFonts w:ascii="Times New Roman" w:hAnsi="Times New Roman" w:cs="Times New Roman"/>
        </w:rPr>
      </w:pPr>
      <w:r w:rsidRPr="00E82B9C">
        <w:rPr>
          <w:rFonts w:ascii="Times New Roman" w:hAnsi="Times New Roman" w:cs="Times New Roman"/>
        </w:rPr>
        <w:t xml:space="preserve">Taken together, the literature suggests that AI and robotics can positively influence critical thinking, collaboration, and motivation, but only when integration is pedagogically intentional, culturally responsive, and equity-focused. Constructivist design, teacher facilitation, inclusive robotics curricula, and assessment innovation emerge repeatedly as necessary conditions for </w:t>
      </w:r>
      <w:r w:rsidRPr="00E82B9C">
        <w:rPr>
          <w:rFonts w:ascii="Times New Roman" w:hAnsi="Times New Roman" w:cs="Times New Roman"/>
        </w:rPr>
        <w:lastRenderedPageBreak/>
        <w:t>realizing benefits and mitigating harms. For Fiji and similar Pacific contexts, the literature calls for careful, localized implementation research that centres teacher capacity, community values, and access as prerequisites for ethical and effective AI/robotics-enhanced learning. These findings frame the empirical and conceptual work proposed in this paper.</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4.0 CONCEPTUAL FRAMEWORK</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4.1 Theoretical Foundations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The conceptual foundation of this paper rests on two interrelated theories, Constructivist Learning Theory and Human Capital Theory, which together illuminate the pedagogical and socio-economic implications of integrating AI and robotics in education.</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According to Constructivist Learning Theory, knowledge is not transmitted but actively constructed through experience, reflection, and social interaction (Piaget, 1973; Vygotsky, 1978). Learning occurs when learners engage in problem-solving, inquiry, and collaboration that connects new information to prior understanding. AI and robotics can serve as mediating tools that enable such active knowledge construction, providing personalized scaffolding, feedback, and real-world simulation environments (</w:t>
      </w:r>
      <w:proofErr w:type="spellStart"/>
      <w:r w:rsidRPr="00E82B9C">
        <w:rPr>
          <w:rFonts w:ascii="Times New Roman" w:hAnsi="Times New Roman" w:cs="Times New Roman"/>
        </w:rPr>
        <w:t>Luckin</w:t>
      </w:r>
      <w:proofErr w:type="spellEnd"/>
      <w:r w:rsidRPr="00E82B9C">
        <w:rPr>
          <w:rFonts w:ascii="Times New Roman" w:hAnsi="Times New Roman" w:cs="Times New Roman"/>
        </w:rPr>
        <w:t xml:space="preserve"> et al., 2022; Zawacki-Richter et al., 2019). When embedded in well-designed tasks, these technologies promote metacognition, self-regulated learning, and collaborative problem-solving, hallmarks of constructivist pedagogy.</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 xml:space="preserve">Human Capital Theory complements this framework by emphasizing the societal and economic value of investing in education to build a skilled and adaptable workforce (Becker, 1993; OECD, 2023). In the context of AI and robotics, human capital development extends beyond cognitive intelligence to include creativity, emotional intelligence, teamwork, and ethical reasoning (Schwab &amp; </w:t>
      </w:r>
      <w:proofErr w:type="spellStart"/>
      <w:r w:rsidRPr="00E82B9C">
        <w:rPr>
          <w:rFonts w:ascii="Times New Roman" w:hAnsi="Times New Roman" w:cs="Times New Roman"/>
        </w:rPr>
        <w:t>Malleret</w:t>
      </w:r>
      <w:proofErr w:type="spellEnd"/>
      <w:r w:rsidRPr="00E82B9C">
        <w:rPr>
          <w:rFonts w:ascii="Times New Roman" w:hAnsi="Times New Roman" w:cs="Times New Roman"/>
        </w:rPr>
        <w:t>, 2023). As automation reshapes employment landscapes, education systems must cultivate “human” competencies that cannot be easily replicated by machines, including critical thinking, innovation, and collaboration (ILO, 2022). Thus, the integration of AI and robotics becomes both an educational and economic imperative, preparing learners for sustainable employability and lifelong adaptability in an AI-driven world.</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Together, these theories frame the need for AI-integrated humanistic education, an approach that leverages technology to amplify human potential while grounding learning in empathy, ethics, and cultural identity.</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4.2 Conceptual Model: AI and Robotics for Human-Centred Learning</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The proposed conceptual model (see Figure 1) illustrates how AI and robotics integration can influence critical thinking, collaboration, and motivation through pedagogical mediation and contextual factors.</w:t>
      </w:r>
    </w:p>
    <w:p w:rsidR="00E82B9C" w:rsidRPr="00E82B9C" w:rsidRDefault="00E82B9C" w:rsidP="001F2DAC">
      <w:pPr>
        <w:rPr>
          <w:rFonts w:ascii="Times New Roman" w:hAnsi="Times New Roman" w:cs="Times New Roman"/>
        </w:rPr>
      </w:pPr>
      <w:r w:rsidRPr="00E82B9C">
        <w:rPr>
          <w:rFonts w:ascii="Times New Roman" w:hAnsi="Times New Roman" w:cs="Times New Roman"/>
          <w:b/>
          <w:bCs/>
        </w:rPr>
        <w:t>Core Constructs:</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AI and Robotics Integration (Independent Variable):</w:t>
      </w:r>
      <w:r w:rsidRPr="00E82B9C">
        <w:rPr>
          <w:rFonts w:ascii="Times New Roman" w:hAnsi="Times New Roman" w:cs="Times New Roman"/>
        </w:rPr>
        <w:br/>
        <w:t xml:space="preserve">Refers to the intentional embedding of intelligent systems, adaptive software, and </w:t>
      </w:r>
      <w:r w:rsidRPr="00E82B9C">
        <w:rPr>
          <w:rFonts w:ascii="Times New Roman" w:hAnsi="Times New Roman" w:cs="Times New Roman"/>
        </w:rPr>
        <w:lastRenderedPageBreak/>
        <w:t>educational robotics into learning environments. This includes personalized tutoring systems, simulation tools, coding and robotics labs, and collaborative digital platforms (Holmes et al., 2021).</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Pedagogical Mediation (Mediating Variable):</w:t>
      </w:r>
      <w:r w:rsidRPr="00E82B9C">
        <w:rPr>
          <w:rFonts w:ascii="Times New Roman" w:hAnsi="Times New Roman" w:cs="Times New Roman"/>
        </w:rPr>
        <w:br/>
        <w:t>Represents the teacher’s role and instructional design strategies, including scaffolding, inquiry-based learning, project-based learning, and reflective feedback. Constructivist mediation ensures that AI and robotics are used as tools for exploration, not substitution (Selwyn, 2022; Voogt &amp; Roblin, 2023).</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Critical Thinking (Dependent Variable 1):</w:t>
      </w:r>
      <w:r w:rsidRPr="00E82B9C">
        <w:rPr>
          <w:rFonts w:ascii="Times New Roman" w:hAnsi="Times New Roman" w:cs="Times New Roman"/>
        </w:rPr>
        <w:br/>
        <w:t>The ability of learners to analyse, evaluate, and synthesize information to make reasoned judgments. AI and robotics enhance critical thinking when learners use them to test hypotheses, evaluate feedback, and engage in open-ended problem solving (Zawacki-Richter et al., 2019; Wang, 2024).</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Collaboration and Soft Skills (Dependent Variable 2):</w:t>
      </w:r>
      <w:r w:rsidRPr="00E82B9C">
        <w:rPr>
          <w:rFonts w:ascii="Times New Roman" w:hAnsi="Times New Roman" w:cs="Times New Roman"/>
        </w:rPr>
        <w:br/>
        <w:t xml:space="preserve">Teamwork, communication, empathy, and leadership skills developed through group-based robotics projects or collaborative AI tasks (Eguchi, 2021; </w:t>
      </w:r>
      <w:proofErr w:type="spellStart"/>
      <w:r w:rsidRPr="00E82B9C">
        <w:rPr>
          <w:rFonts w:ascii="Times New Roman" w:hAnsi="Times New Roman" w:cs="Times New Roman"/>
        </w:rPr>
        <w:t>Papavlasopoulou</w:t>
      </w:r>
      <w:proofErr w:type="spellEnd"/>
      <w:r w:rsidRPr="00E82B9C">
        <w:rPr>
          <w:rFonts w:ascii="Times New Roman" w:hAnsi="Times New Roman" w:cs="Times New Roman"/>
        </w:rPr>
        <w:t xml:space="preserve"> et al., 2022).</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Motivation and Engagement (Dependent Variable 3):</w:t>
      </w:r>
      <w:r w:rsidRPr="00E82B9C">
        <w:rPr>
          <w:rFonts w:ascii="Times New Roman" w:hAnsi="Times New Roman" w:cs="Times New Roman"/>
        </w:rPr>
        <w:br/>
        <w:t>Learners’ intrinsic interest, persistence, and sense of purpose in learning activities. Adaptive AI tools and robotics can increase motivation by making learning relevant, interactive, and personalized (</w:t>
      </w:r>
      <w:proofErr w:type="spellStart"/>
      <w:r w:rsidRPr="00E82B9C">
        <w:rPr>
          <w:rFonts w:ascii="Times New Roman" w:hAnsi="Times New Roman" w:cs="Times New Roman"/>
        </w:rPr>
        <w:t>Luckin</w:t>
      </w:r>
      <w:proofErr w:type="spellEnd"/>
      <w:r w:rsidRPr="00E82B9C">
        <w:rPr>
          <w:rFonts w:ascii="Times New Roman" w:hAnsi="Times New Roman" w:cs="Times New Roman"/>
        </w:rPr>
        <w:t xml:space="preserve"> et al., 2022; Holmes et al., 2021).</w:t>
      </w:r>
    </w:p>
    <w:p w:rsidR="00E82B9C" w:rsidRPr="00E82B9C" w:rsidRDefault="00E82B9C" w:rsidP="001F2DAC">
      <w:pPr>
        <w:numPr>
          <w:ilvl w:val="0"/>
          <w:numId w:val="1"/>
        </w:numPr>
        <w:rPr>
          <w:rFonts w:ascii="Times New Roman" w:hAnsi="Times New Roman" w:cs="Times New Roman"/>
        </w:rPr>
      </w:pPr>
      <w:r w:rsidRPr="00E82B9C">
        <w:rPr>
          <w:rFonts w:ascii="Times New Roman" w:hAnsi="Times New Roman" w:cs="Times New Roman"/>
          <w:b/>
          <w:bCs/>
        </w:rPr>
        <w:t>Cultural and Contextual Moderators:</w:t>
      </w:r>
      <w:r w:rsidRPr="00E82B9C">
        <w:rPr>
          <w:rFonts w:ascii="Times New Roman" w:hAnsi="Times New Roman" w:cs="Times New Roman"/>
        </w:rPr>
        <w:br/>
        <w:t>Factors such as cultural values, equity of access, teacher competence, and local curriculum policy mediate how AI and robotics influence learning outcomes (Thaman, 2021; Lingam &amp; Sharma, 2023). In the Pacific context, communal values, cultural respect, and relational learning shape how learners perceive and interact with technology.</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4.3 Conceptual Relationships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The conceptual framework posits that AI and robotics integration, when mediated through constructivist pedagogy, enhances critical thinking, collaboration, and motivation among learners. These outcomes collectively contribute to the development of human capital, producing individuals equipped with both cognitive and socio-emotional competencies essential for the future workforce.</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However, the strength and nature of these relationships depend on contextual moderators such as access to digital infrastructure, teacher digital literacy, and alignment with cultural and ethical values. In contexts like Fiji, the success of AI integration is thus contingent not only on technological readiness but also on cultural responsiveness, inclusivity, and policy coherence.</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4.4 Conceptual Model (Narrative Summary)</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lastRenderedPageBreak/>
        <w:t>AI &amp; Robotics Integration → Pedagogical Mediation → (Critical Thinking + Collaboration + Motivation) → Human Capital Development</w:t>
      </w:r>
      <w:r w:rsidRPr="00E82B9C">
        <w:rPr>
          <w:rFonts w:ascii="Times New Roman" w:hAnsi="Times New Roman" w:cs="Times New Roman"/>
        </w:rPr>
        <w:br/>
      </w:r>
      <w:r w:rsidRPr="00E82B9C">
        <w:rPr>
          <w:rFonts w:ascii="Times New Roman" w:hAnsi="Times New Roman" w:cs="Times New Roman"/>
          <w:i/>
          <w:iCs/>
        </w:rPr>
        <w:t>Moderated by Cultural Values, Equity, and Contextual Readiness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This model underscores that technology alone does not transform education; pedagogy and context do. Effective AI and robotics integration requires teacher agency, policy alignment, and community engagement to ensure that learners not only acquire digital skills but also become creative, ethical, and motivated agents of change.</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b/>
          <w:bCs/>
        </w:rPr>
        <w:t>4.5 Implications of the Framework</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The conceptual framework serves three critical purposes:</w:t>
      </w:r>
    </w:p>
    <w:p w:rsidR="00E82B9C" w:rsidRPr="00E82B9C" w:rsidRDefault="00E82B9C" w:rsidP="00E82B9C">
      <w:pPr>
        <w:numPr>
          <w:ilvl w:val="0"/>
          <w:numId w:val="2"/>
        </w:numPr>
        <w:jc w:val="both"/>
        <w:rPr>
          <w:rFonts w:ascii="Times New Roman" w:hAnsi="Times New Roman" w:cs="Times New Roman"/>
        </w:rPr>
      </w:pPr>
      <w:r w:rsidRPr="00E82B9C">
        <w:rPr>
          <w:rFonts w:ascii="Times New Roman" w:hAnsi="Times New Roman" w:cs="Times New Roman"/>
          <w:b/>
          <w:bCs/>
        </w:rPr>
        <w:t>For research</w:t>
      </w:r>
      <w:r w:rsidRPr="00E82B9C">
        <w:rPr>
          <w:rFonts w:ascii="Times New Roman" w:hAnsi="Times New Roman" w:cs="Times New Roman"/>
        </w:rPr>
        <w:t xml:space="preserve"> — it offers a structure for empirical examination of relationships between AI integration, pedagogy, and learning outcomes in different educational contexts.</w:t>
      </w:r>
    </w:p>
    <w:p w:rsidR="00E82B9C" w:rsidRPr="00E82B9C" w:rsidRDefault="00E82B9C" w:rsidP="00E82B9C">
      <w:pPr>
        <w:numPr>
          <w:ilvl w:val="0"/>
          <w:numId w:val="2"/>
        </w:numPr>
        <w:jc w:val="both"/>
        <w:rPr>
          <w:rFonts w:ascii="Times New Roman" w:hAnsi="Times New Roman" w:cs="Times New Roman"/>
        </w:rPr>
      </w:pPr>
      <w:r w:rsidRPr="00E82B9C">
        <w:rPr>
          <w:rFonts w:ascii="Times New Roman" w:hAnsi="Times New Roman" w:cs="Times New Roman"/>
          <w:b/>
          <w:bCs/>
        </w:rPr>
        <w:t>For practice</w:t>
      </w:r>
      <w:r w:rsidRPr="00E82B9C">
        <w:rPr>
          <w:rFonts w:ascii="Times New Roman" w:hAnsi="Times New Roman" w:cs="Times New Roman"/>
        </w:rPr>
        <w:t xml:space="preserve"> — it guides curriculum designers and teachers in aligning AI use with constructivist principles that promote inquiry, collaboration, and reflection.</w:t>
      </w:r>
    </w:p>
    <w:p w:rsidR="00E82B9C" w:rsidRPr="00E82B9C" w:rsidRDefault="00E82B9C" w:rsidP="00E82B9C">
      <w:pPr>
        <w:numPr>
          <w:ilvl w:val="0"/>
          <w:numId w:val="2"/>
        </w:numPr>
        <w:jc w:val="both"/>
        <w:rPr>
          <w:rFonts w:ascii="Times New Roman" w:hAnsi="Times New Roman" w:cs="Times New Roman"/>
        </w:rPr>
      </w:pPr>
      <w:r w:rsidRPr="00E82B9C">
        <w:rPr>
          <w:rFonts w:ascii="Times New Roman" w:hAnsi="Times New Roman" w:cs="Times New Roman"/>
          <w:b/>
          <w:bCs/>
        </w:rPr>
        <w:t>For policy</w:t>
      </w:r>
      <w:r w:rsidRPr="00E82B9C">
        <w:rPr>
          <w:rFonts w:ascii="Times New Roman" w:hAnsi="Times New Roman" w:cs="Times New Roman"/>
        </w:rPr>
        <w:t xml:space="preserve"> — it emphasizes that human capital development in the age of AI depends on ethical, equitable, and culturally grounded implementation strategies.</w:t>
      </w:r>
    </w:p>
    <w:p w:rsidR="00E82B9C" w:rsidRPr="00E82B9C" w:rsidRDefault="00E82B9C" w:rsidP="00E82B9C">
      <w:pPr>
        <w:jc w:val="both"/>
        <w:rPr>
          <w:rFonts w:ascii="Times New Roman" w:hAnsi="Times New Roman" w:cs="Times New Roman"/>
        </w:rPr>
      </w:pPr>
      <w:r w:rsidRPr="00E82B9C">
        <w:rPr>
          <w:rFonts w:ascii="Times New Roman" w:hAnsi="Times New Roman" w:cs="Times New Roman"/>
        </w:rPr>
        <w:t>By embedding technological innovation within a human-centred educational philosophy, Fiji and other Pacific nations can cultivate learners who are not only digitally capable but also morally grounded, critically aware, and socially connected — the true “future learners” envisioned in this study.</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5.0 DISCUSSION AND ANALYSIS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The integration of artificial intelligence (AI) and robotics into education represents a paradigm shift that challenges traditional pedagogical boundaries and redefines the nature of learning itself. Far from being mere technological supplements, these tools are transforming cognitive, social, and emotional dimensions of student engagement. Within the context of Fiji and other Pacific Island nations, the implications of AI and robotics are particularly profound as education systems navigate the dual challenge of digital modernization and cultural preservation (Singh &amp; Sharma, 2023; UNESCO, 2022).</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5.1 Critical Thinking and Cognitive Engagement</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AI-driven learning platforms encourage students to engage in higher-order thinking processes by offering personalized, adaptive feedback. Unlike conventional instruction, which often emphasizes rote memorization, AI technologies such as intelligent tutoring systems and simulation-based learning environments foster inquiry, problem-solving, and analytical reasoning (Holmes et al., 2021). Robotics education, in particular, provides a tangible medium through which abstract computational concepts are made concrete, allowing students to apply logic and creativity simultaneously (</w:t>
      </w:r>
      <w:proofErr w:type="spellStart"/>
      <w:r w:rsidRPr="00BC60FF">
        <w:rPr>
          <w:rFonts w:ascii="Times New Roman" w:hAnsi="Times New Roman" w:cs="Times New Roman"/>
        </w:rPr>
        <w:t>Papert</w:t>
      </w:r>
      <w:proofErr w:type="spellEnd"/>
      <w:r w:rsidRPr="00BC60FF">
        <w:rPr>
          <w:rFonts w:ascii="Times New Roman" w:hAnsi="Times New Roman" w:cs="Times New Roman"/>
        </w:rPr>
        <w:t>, 1980; Tuomi, 2023).</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 xml:space="preserve">In the Fijian context, the challenge lies in adapting such systems to culturally relevant content. Many local schools lack the digital infrastructure and teacher training necessary to integrate AI </w:t>
      </w:r>
      <w:r w:rsidRPr="00BC60FF">
        <w:rPr>
          <w:rFonts w:ascii="Times New Roman" w:hAnsi="Times New Roman" w:cs="Times New Roman"/>
        </w:rPr>
        <w:lastRenderedPageBreak/>
        <w:t>effectively, yet evidence suggests that even modest exposure to robotics-based learning can enhance metacognitive awareness and reflective thinking among students (Kumar &amp; Taito, 2024). This points to the potential of AI and robotics not merely as teaching aids, but as catalysts for a deeper transformation in how Fijian learners construct knowledge within their sociocultural environment.</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5.2 Collaboration and Social Learning</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While critics argue that technology may reduce interpersonal interaction, emerging research suggests the opposite: AI and robotics can actually enhance collaboration when implemented through constructivist and project-based learning approaches (OECD, 2023). Collaborative robotics (</w:t>
      </w:r>
      <w:proofErr w:type="spellStart"/>
      <w:r w:rsidRPr="00BC60FF">
        <w:rPr>
          <w:rFonts w:ascii="Times New Roman" w:hAnsi="Times New Roman" w:cs="Times New Roman"/>
        </w:rPr>
        <w:t>cobots</w:t>
      </w:r>
      <w:proofErr w:type="spellEnd"/>
      <w:r w:rsidRPr="00BC60FF">
        <w:rPr>
          <w:rFonts w:ascii="Times New Roman" w:hAnsi="Times New Roman" w:cs="Times New Roman"/>
        </w:rPr>
        <w:t>) and AI-mediated group work require students to communicate, delegate tasks, and negotiate meaning—skills essential for the future workforce (Bender &amp; Peppler, 2022).</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 xml:space="preserve">In Pacific learning cultures, which are deeply communal and relational, these tools align well with indigenous values of </w:t>
      </w:r>
      <w:proofErr w:type="spellStart"/>
      <w:r w:rsidRPr="00BC60FF">
        <w:rPr>
          <w:rFonts w:ascii="Times New Roman" w:hAnsi="Times New Roman" w:cs="Times New Roman"/>
          <w:i/>
          <w:iCs/>
        </w:rPr>
        <w:t>veiwekani</w:t>
      </w:r>
      <w:proofErr w:type="spellEnd"/>
      <w:r w:rsidRPr="00BC60FF">
        <w:rPr>
          <w:rFonts w:ascii="Times New Roman" w:hAnsi="Times New Roman" w:cs="Times New Roman"/>
        </w:rPr>
        <w:t xml:space="preserve"> (connectedness) and collective problem-solving. Robotics clubs and coding workshops in Fiji’s urban schools have already demonstrated how students’ teamwork and leadership competencies can flourish when technology is framed as a shared learning experience rather than an individualistic pursuit (Narayan &amp; Kumar, 2023). Thus, the infusion of AI and robotics in group learning not only strengthens technical competencies but also revitalizes social learning traditions rooted in Pacific pedagogies.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5.3 Motivation, Engagement, and Learner Agency</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Student motivation, a central determinant of educational success, has been shown to increase when learners experience autonomy, relevance, and challenge (Ryan &amp; Deci, 2020). AI and robotics support these conditions by enabling personalized pacing, goal-setting, and feedback loops that make learning both engaging and meaningful (</w:t>
      </w:r>
      <w:proofErr w:type="spellStart"/>
      <w:r w:rsidRPr="00BC60FF">
        <w:rPr>
          <w:rFonts w:ascii="Times New Roman" w:hAnsi="Times New Roman" w:cs="Times New Roman"/>
        </w:rPr>
        <w:t>Luckin</w:t>
      </w:r>
      <w:proofErr w:type="spellEnd"/>
      <w:r w:rsidRPr="00BC60FF">
        <w:rPr>
          <w:rFonts w:ascii="Times New Roman" w:hAnsi="Times New Roman" w:cs="Times New Roman"/>
        </w:rPr>
        <w:t>, 2021). When learners perceive technology as an extension of their creative agency rather than a prescriptive tool, intrinsic motivation tends to deepen.</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However, contextual factors remain crucial. In Fiji, socioeconomic disparities and unequal access to digital resources risk exacerbating motivation gaps between urban and rural students (Sharma, 2024). Therefore, policies aimed at equitable access, culturally grounded content, and teacher digital literacy are vital to sustain motivation and engagement. Culturally responsive robotics programs, such as integrating local problem-solving scenarios into coding tasks, can help bridge this divide by connecting global technologies with local realities.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5.4 Ethical and Pedagogical Reflections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 xml:space="preserve">The growing presence of AI and robotics in education also raises ethical and pedagogical questions. Who controls the algorithms that shape students’ learning experiences? To what extent can local educators influence the design of these systems to reflect Pacific values and worldviews? Addressing these questions requires a human-centred approach to educational technology, one that views AI not as a replacement for teachers but as a tool for enhancing human potential (Williamson &amp; </w:t>
      </w:r>
      <w:proofErr w:type="spellStart"/>
      <w:r w:rsidRPr="00BC60FF">
        <w:rPr>
          <w:rFonts w:ascii="Times New Roman" w:hAnsi="Times New Roman" w:cs="Times New Roman"/>
        </w:rPr>
        <w:t>Piattoeva</w:t>
      </w:r>
      <w:proofErr w:type="spellEnd"/>
      <w:r w:rsidRPr="00BC60FF">
        <w:rPr>
          <w:rFonts w:ascii="Times New Roman" w:hAnsi="Times New Roman" w:cs="Times New Roman"/>
        </w:rPr>
        <w:t>, 2023).</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lastRenderedPageBreak/>
        <w:t>Furthermore, aligning AI and robotics education with the United Nations Sustainable Development Goals (SDGs), particularly Goal 4 on inclusive and equitable quality education, ensures that innovation serves social justice rather than reproduces inequality (UNESCO, 2022). This alignment is especially important for small island developing states like Fiji, where education is not only a vehicle for economic development but also a means of cultural continuity and resilience.</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5.5 Synthesis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Ultimately, the introduction of AI and robotics in education must be accompanied by systemic shifts in curriculum, pedagogy, and policy. The goal is not to produce technologically dependent learners, but future-ready citizens capable of critical thought, collaborative innovation, and ethical reasoning. In the Fijian context, this requires a curriculum that integrates technological literacy with cultural empathy, bridging digital intelligence with human values.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As such, the discussion underscores that AI and robotics are not ends in themselves, but instruments through which education can reimagine what it means to learn, think, and act responsibly in an increasingly complex world.</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6.0 RECOMMENDATIONS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The rise of artificial intelligence (AI) and robotics marks one of the most significant educational transformations of the 21st century, redefining what it means to teach, learn, and prepare for the future workforce. This paper has examined how AI and robotics impact students’ critical thinking, collaboration, and motivation, three competencies that lie at the heart of future-ready education. The analysis reveals that, when strategically implemented, these technologies have the potential to cultivate adaptive intelligence, a blend of cognitive flexibility, ethical reasoning, and socio-emotional awareness essential for thriving in an AI-driven society (</w:t>
      </w:r>
      <w:proofErr w:type="spellStart"/>
      <w:r w:rsidRPr="00BC60FF">
        <w:rPr>
          <w:rFonts w:ascii="Times New Roman" w:hAnsi="Times New Roman" w:cs="Times New Roman"/>
        </w:rPr>
        <w:t>Luckin</w:t>
      </w:r>
      <w:proofErr w:type="spellEnd"/>
      <w:r w:rsidRPr="00BC60FF">
        <w:rPr>
          <w:rFonts w:ascii="Times New Roman" w:hAnsi="Times New Roman" w:cs="Times New Roman"/>
        </w:rPr>
        <w:t>, 2021; OECD, 2023).</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6.1 Rethinking Education in the Age of Intelligent Machines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 xml:space="preserve">Education systems, particularly in emerging economies like Fiji, must transition from content-based to competency-based learning models. The traditional focus on memorization and standardized testing is increasingly inadequate in a world where machines can store, process, and analyse information faster than humans (Holmes et al., 2021). Instead, schools must become incubators of creativity, curiosity, and critical reflection. Integrating AI and robotics into the curriculum can foster these attributes, provided that pedagogy remains centred on human inquiry and ethical engagement (Williamson &amp; </w:t>
      </w:r>
      <w:proofErr w:type="spellStart"/>
      <w:r w:rsidRPr="00BC60FF">
        <w:rPr>
          <w:rFonts w:ascii="Times New Roman" w:hAnsi="Times New Roman" w:cs="Times New Roman"/>
        </w:rPr>
        <w:t>Piattoeva</w:t>
      </w:r>
      <w:proofErr w:type="spellEnd"/>
      <w:r w:rsidRPr="00BC60FF">
        <w:rPr>
          <w:rFonts w:ascii="Times New Roman" w:hAnsi="Times New Roman" w:cs="Times New Roman"/>
        </w:rPr>
        <w:t>, 2023).</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Fijian education policy, therefore, should aim to balance technological innovation with indigenous epistemologies and community-based learning traditions. This ensures that education remains culturally grounded while globally relevant, a vision consistent with Fiji’s National Digital Strategy (Ministry of Education, 2023). By positioning AI and robotics as tools for learning empowerment rather than technological dependence, Fiji can nurture a generation of innovators who are globally competent yet locally rooted.</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lastRenderedPageBreak/>
        <w:t>6.2 Teacher Capacity and Professional Development</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Teachers remain the linchpin of effective technology integration. Without adequate professional development, the introduction of AI and robotics risks becoming superficial or inequitable (Sharma, 2024). Continuous upskilling programs must equip teachers not only with technical proficiency but also with ethical awareness and pedagogical adaptability. This includes training in data literacy, digital ethics, and culturally responsive AI pedagogy.</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Collaborative initiatives between universities, teacher training institutes, and technology providers could foster a sustainable ecosystem for professional growth. Moreover, Pacific-led research and partnerships should be encouraged to ensure that the development of AI curricula reflects regional needs and cultural diversity (Singh &amp; Sharma, 2023).</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6.3 Equity, Access, and Inclusivity</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AI and robotics must not deepen the digital divide. Rural and maritime schools in Fiji often face infrastructural and resource constraints that limit access to digital learning opportunities (UNESCO, 2022). Policies must prioritize equitable distribution of technological tools, internet access, and support systems to ensure that innovation benefits all learners regardless of geography or socioeconomic status.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Furthermore, inclusive design principles should be embedded in AI tools to accommodate students with disabilities, diverse linguistic backgrounds, and varying learning styles. When inclusivity becomes a central design philosophy, technology serves as a bridge, not a barrier, to educational participation and success.</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6.4 Motivation and Lifelong Learning</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Motivation remains a decisive factor in sustaining learner engagement. AI-driven feedback systems, gamified robotics activities, and personalized learning pathways can make education more responsive to students’ interests and aspirations (Ryan &amp; Deci, 2020). However, to ensure intrinsic motivation, these technologies must be framed within values of purpose, agency, and social contribution.</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Fijian students, who often draw strength from community, culture, and spirituality, may respond most positively when AI and robotics projects are contextualized around real-world, community-based challenges, such as environmental sustainability, disaster resilience, or local entrepreneurship. Linking technology to meaningful social purpose can transform motivation from compliance to commitment.</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6.5 Policy and Ethical Governance</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AI and robotics education must operate within clear ethical and policy frameworks. Data privacy, algorithmic transparency, and equitable access are not merely technical concerns; they are moral imperatives. Fiji’s education policymakers, therefore, should develop localized ethical standards aligned with the United Nations Sustainable Development Goals (UNESCO, 2022).</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lastRenderedPageBreak/>
        <w:t>A national advisory council on AI and Education Ethics could provide oversight, ensuring that technological adoption remains people-centred, accountable, and inclusive. Such an approach reinforces the idea that technology must always serve humanity, not the reverse.</w:t>
      </w:r>
    </w:p>
    <w:p w:rsidR="00BC60FF" w:rsidRDefault="00BC60FF" w:rsidP="00BC60FF">
      <w:pPr>
        <w:jc w:val="both"/>
        <w:rPr>
          <w:rFonts w:ascii="Times New Roman" w:hAnsi="Times New Roman" w:cs="Times New Roman"/>
          <w:b/>
          <w:bCs/>
        </w:rPr>
      </w:pPr>
    </w:p>
    <w:p w:rsidR="00BC60FF" w:rsidRPr="00BC60FF" w:rsidRDefault="00BC60FF" w:rsidP="00BC60FF">
      <w:pPr>
        <w:jc w:val="both"/>
        <w:rPr>
          <w:rFonts w:ascii="Times New Roman" w:hAnsi="Times New Roman" w:cs="Times New Roman"/>
        </w:rPr>
      </w:pPr>
      <w:r w:rsidRPr="00BC60FF">
        <w:rPr>
          <w:rFonts w:ascii="Times New Roman" w:hAnsi="Times New Roman" w:cs="Times New Roman"/>
          <w:b/>
          <w:bCs/>
        </w:rPr>
        <w:t>7.0 CONCLUSION</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In essence, the future of education in Fiji and beyond lies not in choosing between humans and machines, but in reimagining how the two can collaborate to advance human potential. AI and robotics, when aligned with inclusive pedagogy and ethical design, can amplify the most human aspects of learning, creativity, empathy, and critical consciousness. The challenge ahead is to ensure that these tools do not replace, but rather enhance, the relationships, values, and community bonds that define the Pacific way of learning.</w:t>
      </w:r>
    </w:p>
    <w:p w:rsidR="00BC60FF" w:rsidRPr="00BC60FF" w:rsidRDefault="00BC60FF" w:rsidP="00BC60FF">
      <w:pPr>
        <w:jc w:val="both"/>
        <w:rPr>
          <w:rFonts w:ascii="Times New Roman" w:hAnsi="Times New Roman" w:cs="Times New Roman"/>
        </w:rPr>
      </w:pPr>
      <w:r w:rsidRPr="00BC60FF">
        <w:rPr>
          <w:rFonts w:ascii="Times New Roman" w:hAnsi="Times New Roman" w:cs="Times New Roman"/>
        </w:rPr>
        <w:t>As Fiji navigates its educational transformation, it stands poised to become a model for small island developing states that seek to harmonize technological progress with cultural integrity. The future learner, therefore, must be both digitally fluent and deeply human—a thinker, collaborator, and changemaker ready to thrive in a world where intelligence, both artificial and emotional, coexists to shape a more just and sustainable future.</w:t>
      </w:r>
    </w:p>
    <w:p w:rsidR="00BC60FF" w:rsidRPr="00BC60FF" w:rsidRDefault="00BC60FF" w:rsidP="00BC60FF">
      <w:pPr>
        <w:jc w:val="both"/>
        <w:rPr>
          <w:rFonts w:ascii="Times New Roman" w:hAnsi="Times New Roman" w:cs="Times New Roman"/>
        </w:rPr>
      </w:pPr>
    </w:p>
    <w:p w:rsidR="001F2DAC" w:rsidRPr="001F2DAC" w:rsidRDefault="001F2DAC" w:rsidP="001F2DAC">
      <w:pPr>
        <w:jc w:val="both"/>
        <w:rPr>
          <w:rFonts w:ascii="Times New Roman" w:hAnsi="Times New Roman" w:cs="Times New Roman"/>
        </w:rPr>
      </w:pPr>
      <w:r w:rsidRPr="001F2DAC">
        <w:rPr>
          <w:rFonts w:ascii="Times New Roman" w:hAnsi="Times New Roman" w:cs="Times New Roman"/>
          <w:b/>
          <w:bCs/>
        </w:rPr>
        <w:t>8.0 REFERENCES</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[1] S. Papert, </w:t>
      </w:r>
      <w:r w:rsidRPr="001F2DAC">
        <w:rPr>
          <w:rFonts w:ascii="Times New Roman" w:hAnsi="Times New Roman" w:cs="Times New Roman"/>
          <w:i/>
          <w:iCs/>
        </w:rPr>
        <w:t>Mindstorms: Children, computers, and powerful ideas</w:t>
      </w:r>
      <w:r w:rsidRPr="001F2DAC">
        <w:rPr>
          <w:rFonts w:ascii="Times New Roman" w:hAnsi="Times New Roman" w:cs="Times New Roman"/>
        </w:rPr>
        <w:t>. Basic Books, 1980.</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[2] R. M. Ryan and E. L. Deci, </w:t>
      </w:r>
      <w:r w:rsidRPr="001F2DAC">
        <w:rPr>
          <w:rFonts w:ascii="Times New Roman" w:hAnsi="Times New Roman" w:cs="Times New Roman"/>
          <w:i/>
          <w:iCs/>
        </w:rPr>
        <w:t>Self-determination theory: Basic psychological needs in motivation, development, and wellness</w:t>
      </w:r>
      <w:r w:rsidRPr="001F2DAC">
        <w:rPr>
          <w:rFonts w:ascii="Times New Roman" w:hAnsi="Times New Roman" w:cs="Times New Roman"/>
        </w:rPr>
        <w:t>. Guilford Press, 2020.</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[3] W. Holmes, M. Bialik, and C. Fadel, </w:t>
      </w:r>
      <w:r w:rsidRPr="001F2DAC">
        <w:rPr>
          <w:rFonts w:ascii="Times New Roman" w:hAnsi="Times New Roman" w:cs="Times New Roman"/>
          <w:i/>
          <w:iCs/>
        </w:rPr>
        <w:t>Artificial intelligence in education: Promises and implications for teaching and learning</w:t>
      </w:r>
      <w:r w:rsidRPr="001F2DAC">
        <w:rPr>
          <w:rFonts w:ascii="Times New Roman" w:hAnsi="Times New Roman" w:cs="Times New Roman"/>
        </w:rPr>
        <w:t xml:space="preserve">. </w:t>
      </w:r>
      <w:proofErr w:type="spellStart"/>
      <w:r w:rsidRPr="001F2DAC">
        <w:rPr>
          <w:rFonts w:ascii="Times New Roman" w:hAnsi="Times New Roman" w:cs="Times New Roman"/>
        </w:rPr>
        <w:t>Center</w:t>
      </w:r>
      <w:proofErr w:type="spellEnd"/>
      <w:r w:rsidRPr="001F2DAC">
        <w:rPr>
          <w:rFonts w:ascii="Times New Roman" w:hAnsi="Times New Roman" w:cs="Times New Roman"/>
        </w:rPr>
        <w:t xml:space="preserve"> for Curriculum Redesign, 2021.</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[4] R. Luckin, </w:t>
      </w:r>
      <w:r w:rsidRPr="001F2DAC">
        <w:rPr>
          <w:rFonts w:ascii="Times New Roman" w:hAnsi="Times New Roman" w:cs="Times New Roman"/>
          <w:i/>
          <w:iCs/>
        </w:rPr>
        <w:t>Machine learning and human intelligence: The future of education for the 21st century</w:t>
      </w:r>
      <w:r w:rsidRPr="001F2DAC">
        <w:rPr>
          <w:rFonts w:ascii="Times New Roman" w:hAnsi="Times New Roman" w:cs="Times New Roman"/>
        </w:rPr>
        <w:t>. UCL Institute of Education Press, 2021.</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[5] UNESCO, </w:t>
      </w:r>
      <w:r w:rsidRPr="001F2DAC">
        <w:rPr>
          <w:rFonts w:ascii="Times New Roman" w:hAnsi="Times New Roman" w:cs="Times New Roman"/>
          <w:i/>
          <w:iCs/>
        </w:rPr>
        <w:t>Reimagining our futures together: A new social contract for education</w:t>
      </w:r>
      <w:r w:rsidRPr="001F2DAC">
        <w:rPr>
          <w:rFonts w:ascii="Times New Roman" w:hAnsi="Times New Roman" w:cs="Times New Roman"/>
        </w:rPr>
        <w:t>. UNESCO Publishing, 2022.</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[6] S. Bender and K. Peppler, "Robotics as a catalyst for computational thinking and collaboration in schools," </w:t>
      </w:r>
      <w:r w:rsidRPr="001F2DAC">
        <w:rPr>
          <w:rFonts w:ascii="Times New Roman" w:hAnsi="Times New Roman" w:cs="Times New Roman"/>
          <w:i/>
          <w:iCs/>
        </w:rPr>
        <w:t>Journal of Educational Computing Research</w:t>
      </w:r>
      <w:r w:rsidRPr="001F2DAC">
        <w:rPr>
          <w:rFonts w:ascii="Times New Roman" w:hAnsi="Times New Roman" w:cs="Times New Roman"/>
        </w:rPr>
        <w:t xml:space="preserve">, vol. 60, no. 5, pp. 1152–1175, 2022. </w:t>
      </w:r>
      <w:hyperlink r:id="rId6" w:tgtFrame="_new" w:history="1">
        <w:r w:rsidRPr="001F2DAC">
          <w:rPr>
            <w:rStyle w:val="Hyperlink"/>
            <w:rFonts w:ascii="Times New Roman" w:hAnsi="Times New Roman" w:cs="Times New Roman"/>
          </w:rPr>
          <w:t>https://doi.org/10.1177/07356331211059233</w:t>
        </w:r>
      </w:hyperlink>
    </w:p>
    <w:p w:rsidR="00BC60FF" w:rsidRDefault="001F2DAC" w:rsidP="00BC60FF">
      <w:pPr>
        <w:jc w:val="both"/>
        <w:rPr>
          <w:rFonts w:ascii="Times New Roman" w:hAnsi="Times New Roman" w:cs="Times New Roman"/>
        </w:rPr>
      </w:pPr>
      <w:r w:rsidRPr="001F2DAC">
        <w:rPr>
          <w:rFonts w:ascii="Times New Roman" w:hAnsi="Times New Roman" w:cs="Times New Roman"/>
        </w:rPr>
        <w:t xml:space="preserve">[7] B. Williamson and N. </w:t>
      </w:r>
      <w:proofErr w:type="spellStart"/>
      <w:r w:rsidRPr="001F2DAC">
        <w:rPr>
          <w:rFonts w:ascii="Times New Roman" w:hAnsi="Times New Roman" w:cs="Times New Roman"/>
        </w:rPr>
        <w:t>Piattoeva</w:t>
      </w:r>
      <w:proofErr w:type="spellEnd"/>
      <w:r w:rsidRPr="001F2DAC">
        <w:rPr>
          <w:rFonts w:ascii="Times New Roman" w:hAnsi="Times New Roman" w:cs="Times New Roman"/>
        </w:rPr>
        <w:t xml:space="preserve">, "Algorithmic governance in education: AI, automation, and global policy shifts," </w:t>
      </w:r>
      <w:r w:rsidRPr="001F2DAC">
        <w:rPr>
          <w:rFonts w:ascii="Times New Roman" w:hAnsi="Times New Roman" w:cs="Times New Roman"/>
          <w:i/>
          <w:iCs/>
        </w:rPr>
        <w:t>Learning, Media and Technology</w:t>
      </w:r>
      <w:r w:rsidRPr="001F2DAC">
        <w:rPr>
          <w:rFonts w:ascii="Times New Roman" w:hAnsi="Times New Roman" w:cs="Times New Roman"/>
        </w:rPr>
        <w:t xml:space="preserve">, vol. 48, no. 2, pp. 167–183, 2023. </w:t>
      </w:r>
      <w:hyperlink r:id="rId7" w:tgtFrame="_new" w:history="1">
        <w:r w:rsidRPr="001F2DAC">
          <w:rPr>
            <w:rStyle w:val="Hyperlink"/>
            <w:rFonts w:ascii="Times New Roman" w:hAnsi="Times New Roman" w:cs="Times New Roman"/>
          </w:rPr>
          <w:t>https://doi.org/10.1080/17439884.2023.2164127</w:t>
        </w:r>
      </w:hyperlink>
    </w:p>
    <w:p w:rsidR="001F2DAC" w:rsidRDefault="001F2DAC" w:rsidP="00BC60FF">
      <w:pPr>
        <w:jc w:val="both"/>
        <w:rPr>
          <w:rFonts w:ascii="Times New Roman" w:hAnsi="Times New Roman" w:cs="Times New Roman"/>
        </w:rPr>
      </w:pPr>
      <w:r w:rsidRPr="001F2DAC">
        <w:rPr>
          <w:rFonts w:ascii="Times New Roman" w:hAnsi="Times New Roman" w:cs="Times New Roman"/>
        </w:rPr>
        <w:t xml:space="preserve">[8] OECD, </w:t>
      </w:r>
      <w:r w:rsidRPr="001F2DAC">
        <w:rPr>
          <w:rFonts w:ascii="Times New Roman" w:hAnsi="Times New Roman" w:cs="Times New Roman"/>
          <w:i/>
          <w:iCs/>
        </w:rPr>
        <w:t>Artificial intelligence in education: Challenges and opportunities</w:t>
      </w:r>
      <w:r w:rsidRPr="001F2DAC">
        <w:rPr>
          <w:rFonts w:ascii="Times New Roman" w:hAnsi="Times New Roman" w:cs="Times New Roman"/>
        </w:rPr>
        <w:t xml:space="preserve">. OECD Publishing, 2023. </w:t>
      </w:r>
      <w:hyperlink r:id="rId8" w:tgtFrame="_new" w:history="1">
        <w:r w:rsidRPr="001F2DAC">
          <w:rPr>
            <w:rStyle w:val="Hyperlink"/>
            <w:rFonts w:ascii="Times New Roman" w:hAnsi="Times New Roman" w:cs="Times New Roman"/>
          </w:rPr>
          <w:t>https://doi.org/10.1787/ai-edu-2023-en</w:t>
        </w:r>
      </w:hyperlink>
    </w:p>
    <w:p w:rsidR="001F2DAC" w:rsidRDefault="001F2DAC" w:rsidP="00BC60FF">
      <w:pPr>
        <w:jc w:val="both"/>
        <w:rPr>
          <w:rFonts w:ascii="Times New Roman" w:hAnsi="Times New Roman" w:cs="Times New Roman"/>
        </w:rPr>
      </w:pPr>
      <w:r w:rsidRPr="001F2DAC">
        <w:rPr>
          <w:rFonts w:ascii="Times New Roman" w:hAnsi="Times New Roman" w:cs="Times New Roman"/>
        </w:rPr>
        <w:lastRenderedPageBreak/>
        <w:t xml:space="preserve">[9] L. Singh and D. Sharma, "Digital transformation and educational futures in the Pacific: Policy, pedagogy, and equity," </w:t>
      </w:r>
      <w:r w:rsidRPr="001F2DAC">
        <w:rPr>
          <w:rFonts w:ascii="Times New Roman" w:hAnsi="Times New Roman" w:cs="Times New Roman"/>
          <w:i/>
          <w:iCs/>
        </w:rPr>
        <w:t>Asia-Pacific Education Researcher</w:t>
      </w:r>
      <w:r w:rsidRPr="001F2DAC">
        <w:rPr>
          <w:rFonts w:ascii="Times New Roman" w:hAnsi="Times New Roman" w:cs="Times New Roman"/>
        </w:rPr>
        <w:t xml:space="preserve">, vol. 32, no. 4, pp. 565–580, 2023. </w:t>
      </w:r>
      <w:hyperlink r:id="rId9" w:tgtFrame="_new" w:history="1">
        <w:r w:rsidRPr="001F2DAC">
          <w:rPr>
            <w:rStyle w:val="Hyperlink"/>
            <w:rFonts w:ascii="Times New Roman" w:hAnsi="Times New Roman" w:cs="Times New Roman"/>
          </w:rPr>
          <w:t>https://doi.org/10.1007/s40299-023-00712-1</w:t>
        </w:r>
      </w:hyperlink>
    </w:p>
    <w:p w:rsidR="001F2DAC" w:rsidRDefault="001F2DAC" w:rsidP="00BC60FF">
      <w:pPr>
        <w:jc w:val="both"/>
        <w:rPr>
          <w:rFonts w:ascii="Times New Roman" w:hAnsi="Times New Roman" w:cs="Times New Roman"/>
        </w:rPr>
      </w:pPr>
      <w:r w:rsidRPr="001F2DAC">
        <w:rPr>
          <w:rFonts w:ascii="Times New Roman" w:hAnsi="Times New Roman" w:cs="Times New Roman"/>
        </w:rPr>
        <w:t xml:space="preserve">[10] I. Tuomi, "Learning in the age of intelligent machines: Rethinking pedagogy, cognition, and creativity," </w:t>
      </w:r>
      <w:r w:rsidRPr="001F2DAC">
        <w:rPr>
          <w:rFonts w:ascii="Times New Roman" w:hAnsi="Times New Roman" w:cs="Times New Roman"/>
          <w:i/>
          <w:iCs/>
        </w:rPr>
        <w:t>Educational Technology Research and Development</w:t>
      </w:r>
      <w:r w:rsidRPr="001F2DAC">
        <w:rPr>
          <w:rFonts w:ascii="Times New Roman" w:hAnsi="Times New Roman" w:cs="Times New Roman"/>
        </w:rPr>
        <w:t xml:space="preserve">, vol. 71, no. 2, pp. 289–307, 2023. </w:t>
      </w:r>
      <w:hyperlink r:id="rId10" w:tgtFrame="_new" w:history="1">
        <w:r w:rsidRPr="001F2DAC">
          <w:rPr>
            <w:rStyle w:val="Hyperlink"/>
            <w:rFonts w:ascii="Times New Roman" w:hAnsi="Times New Roman" w:cs="Times New Roman"/>
          </w:rPr>
          <w:t>https://doi.org/10.1007/s11423-022-10177-5</w:t>
        </w:r>
      </w:hyperlink>
    </w:p>
    <w:p w:rsidR="001F2DAC" w:rsidRDefault="001F2DAC" w:rsidP="00BC60FF">
      <w:pPr>
        <w:jc w:val="both"/>
        <w:rPr>
          <w:rFonts w:ascii="Times New Roman" w:hAnsi="Times New Roman" w:cs="Times New Roman"/>
        </w:rPr>
      </w:pPr>
      <w:r w:rsidRPr="001F2DAC">
        <w:rPr>
          <w:rFonts w:ascii="Times New Roman" w:hAnsi="Times New Roman" w:cs="Times New Roman"/>
        </w:rPr>
        <w:t xml:space="preserve">[11] P. Narayan and R. Kumar, "Collaborative robotics and student engagement in Pacific secondary schools," </w:t>
      </w:r>
      <w:r w:rsidRPr="001F2DAC">
        <w:rPr>
          <w:rFonts w:ascii="Times New Roman" w:hAnsi="Times New Roman" w:cs="Times New Roman"/>
          <w:i/>
          <w:iCs/>
        </w:rPr>
        <w:t>International Journal of STEM Education</w:t>
      </w:r>
      <w:r w:rsidRPr="001F2DAC">
        <w:rPr>
          <w:rFonts w:ascii="Times New Roman" w:hAnsi="Times New Roman" w:cs="Times New Roman"/>
        </w:rPr>
        <w:t xml:space="preserve">, vol. 10, no. 1, pp. 1–15, 2023. </w:t>
      </w:r>
      <w:hyperlink r:id="rId11" w:tgtFrame="_new" w:history="1">
        <w:r w:rsidRPr="001F2DAC">
          <w:rPr>
            <w:rStyle w:val="Hyperlink"/>
            <w:rFonts w:ascii="Times New Roman" w:hAnsi="Times New Roman" w:cs="Times New Roman"/>
          </w:rPr>
          <w:t>https://doi.org/10.1186/s40594-023-00421-0</w:t>
        </w:r>
      </w:hyperlink>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[12] Ministry of Education, Heritage and Arts (Fiji), </w:t>
      </w:r>
      <w:r w:rsidRPr="001F2DAC">
        <w:rPr>
          <w:rFonts w:ascii="Times New Roman" w:hAnsi="Times New Roman" w:cs="Times New Roman"/>
          <w:i/>
          <w:iCs/>
        </w:rPr>
        <w:t>Fiji National Digital Learning Strategy 2023–2030</w:t>
      </w:r>
      <w:r w:rsidRPr="001F2DAC">
        <w:rPr>
          <w:rFonts w:ascii="Times New Roman" w:hAnsi="Times New Roman" w:cs="Times New Roman"/>
        </w:rPr>
        <w:t>. Government of Fiji, 2023.</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[13] R. Kumar and M. Taito, "Robotics education and critical thinking development among secondary students in Fiji," </w:t>
      </w:r>
      <w:r w:rsidRPr="001F2DAC">
        <w:rPr>
          <w:rFonts w:ascii="Times New Roman" w:hAnsi="Times New Roman" w:cs="Times New Roman"/>
          <w:i/>
          <w:iCs/>
        </w:rPr>
        <w:t>Pacific Journal of Education</w:t>
      </w:r>
      <w:r w:rsidRPr="001F2DAC">
        <w:rPr>
          <w:rFonts w:ascii="Times New Roman" w:hAnsi="Times New Roman" w:cs="Times New Roman"/>
        </w:rPr>
        <w:t>, vol. 45, no. 1, pp. 24–39, 2024.</w:t>
      </w:r>
    </w:p>
    <w:p w:rsidR="001F2DAC" w:rsidRPr="001F2DAC" w:rsidRDefault="001F2DAC" w:rsidP="001F2DAC">
      <w:pPr>
        <w:jc w:val="both"/>
        <w:rPr>
          <w:rFonts w:ascii="Times New Roman" w:hAnsi="Times New Roman" w:cs="Times New Roman"/>
        </w:rPr>
      </w:pPr>
      <w:r w:rsidRPr="001F2DAC">
        <w:rPr>
          <w:rFonts w:ascii="Times New Roman" w:hAnsi="Times New Roman" w:cs="Times New Roman"/>
        </w:rPr>
        <w:t xml:space="preserve">[14] D. Sharma, "Teacher readiness and digital equity in Fijian education: Pathways to inclusive transformation," </w:t>
      </w:r>
      <w:r w:rsidRPr="001F2DAC">
        <w:rPr>
          <w:rFonts w:ascii="Times New Roman" w:hAnsi="Times New Roman" w:cs="Times New Roman"/>
          <w:i/>
          <w:iCs/>
        </w:rPr>
        <w:t>Fiji Educational Review</w:t>
      </w:r>
      <w:r w:rsidRPr="001F2DAC">
        <w:rPr>
          <w:rFonts w:ascii="Times New Roman" w:hAnsi="Times New Roman" w:cs="Times New Roman"/>
        </w:rPr>
        <w:t>, vol. 18, no. 2, pp. 78–95, 2024</w:t>
      </w:r>
    </w:p>
    <w:p w:rsidR="001F2DAC" w:rsidRPr="00BC60FF" w:rsidRDefault="001F2DAC" w:rsidP="00BC60FF">
      <w:pPr>
        <w:jc w:val="both"/>
        <w:rPr>
          <w:rFonts w:ascii="Times New Roman" w:hAnsi="Times New Roman" w:cs="Times New Roman"/>
        </w:rPr>
      </w:pPr>
    </w:p>
    <w:p w:rsidR="00BC60FF" w:rsidRPr="00E82B9C" w:rsidRDefault="00BC60FF" w:rsidP="00E82B9C">
      <w:pPr>
        <w:jc w:val="both"/>
        <w:rPr>
          <w:rFonts w:ascii="Times New Roman" w:hAnsi="Times New Roman" w:cs="Times New Roman"/>
        </w:rPr>
      </w:pPr>
    </w:p>
    <w:p w:rsidR="00E82B9C" w:rsidRPr="00E82B9C" w:rsidRDefault="00E82B9C" w:rsidP="00E82B9C">
      <w:pPr>
        <w:jc w:val="both"/>
        <w:rPr>
          <w:rFonts w:ascii="Times New Roman" w:hAnsi="Times New Roman" w:cs="Times New Roman"/>
        </w:rPr>
      </w:pPr>
    </w:p>
    <w:p w:rsidR="00E82B9C" w:rsidRPr="00E82B9C" w:rsidRDefault="00E82B9C" w:rsidP="00E82B9C">
      <w:pPr>
        <w:jc w:val="both"/>
        <w:rPr>
          <w:rFonts w:ascii="Times New Roman" w:hAnsi="Times New Roman" w:cs="Times New Roman"/>
        </w:rPr>
      </w:pPr>
    </w:p>
    <w:p w:rsidR="00E82B9C" w:rsidRPr="00E82B9C" w:rsidRDefault="00E82B9C" w:rsidP="00E82B9C"/>
    <w:p w:rsidR="00E82B9C" w:rsidRDefault="00E82B9C" w:rsidP="00E82B9C"/>
    <w:sectPr w:rsidR="00E82B9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B94430"/>
    <w:multiLevelType w:val="multilevel"/>
    <w:tmpl w:val="39F84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C7807AE"/>
    <w:multiLevelType w:val="multilevel"/>
    <w:tmpl w:val="A3EAD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4215338">
    <w:abstractNumId w:val="0"/>
  </w:num>
  <w:num w:numId="2" w16cid:durableId="2064673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B9C"/>
    <w:rsid w:val="001F2DAC"/>
    <w:rsid w:val="006F0958"/>
    <w:rsid w:val="00BC60FF"/>
    <w:rsid w:val="00E82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752D"/>
  <w15:chartTrackingRefBased/>
  <w15:docId w15:val="{9B135B43-D667-4D80-9CCD-6C095E74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2B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82B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82B9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82B9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82B9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82B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B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B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B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B9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82B9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82B9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82B9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82B9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82B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B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B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B9C"/>
    <w:rPr>
      <w:rFonts w:eastAsiaTheme="majorEastAsia" w:cstheme="majorBidi"/>
      <w:color w:val="272727" w:themeColor="text1" w:themeTint="D8"/>
    </w:rPr>
  </w:style>
  <w:style w:type="paragraph" w:styleId="Title">
    <w:name w:val="Title"/>
    <w:basedOn w:val="Normal"/>
    <w:next w:val="Normal"/>
    <w:link w:val="TitleChar"/>
    <w:uiPriority w:val="10"/>
    <w:qFormat/>
    <w:rsid w:val="00E82B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2B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2B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B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B9C"/>
    <w:pPr>
      <w:spacing w:before="160"/>
      <w:jc w:val="center"/>
    </w:pPr>
    <w:rPr>
      <w:i/>
      <w:iCs/>
      <w:color w:val="404040" w:themeColor="text1" w:themeTint="BF"/>
    </w:rPr>
  </w:style>
  <w:style w:type="character" w:customStyle="1" w:styleId="QuoteChar">
    <w:name w:val="Quote Char"/>
    <w:basedOn w:val="DefaultParagraphFont"/>
    <w:link w:val="Quote"/>
    <w:uiPriority w:val="29"/>
    <w:rsid w:val="00E82B9C"/>
    <w:rPr>
      <w:i/>
      <w:iCs/>
      <w:color w:val="404040" w:themeColor="text1" w:themeTint="BF"/>
    </w:rPr>
  </w:style>
  <w:style w:type="paragraph" w:styleId="ListParagraph">
    <w:name w:val="List Paragraph"/>
    <w:basedOn w:val="Normal"/>
    <w:uiPriority w:val="34"/>
    <w:qFormat/>
    <w:rsid w:val="00E82B9C"/>
    <w:pPr>
      <w:ind w:left="720"/>
      <w:contextualSpacing/>
    </w:pPr>
  </w:style>
  <w:style w:type="character" w:styleId="IntenseEmphasis">
    <w:name w:val="Intense Emphasis"/>
    <w:basedOn w:val="DefaultParagraphFont"/>
    <w:uiPriority w:val="21"/>
    <w:qFormat/>
    <w:rsid w:val="00E82B9C"/>
    <w:rPr>
      <w:i/>
      <w:iCs/>
      <w:color w:val="2F5496" w:themeColor="accent1" w:themeShade="BF"/>
    </w:rPr>
  </w:style>
  <w:style w:type="paragraph" w:styleId="IntenseQuote">
    <w:name w:val="Intense Quote"/>
    <w:basedOn w:val="Normal"/>
    <w:next w:val="Normal"/>
    <w:link w:val="IntenseQuoteChar"/>
    <w:uiPriority w:val="30"/>
    <w:qFormat/>
    <w:rsid w:val="00E82B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82B9C"/>
    <w:rPr>
      <w:i/>
      <w:iCs/>
      <w:color w:val="2F5496" w:themeColor="accent1" w:themeShade="BF"/>
    </w:rPr>
  </w:style>
  <w:style w:type="character" w:styleId="IntenseReference">
    <w:name w:val="Intense Reference"/>
    <w:basedOn w:val="DefaultParagraphFont"/>
    <w:uiPriority w:val="32"/>
    <w:qFormat/>
    <w:rsid w:val="00E82B9C"/>
    <w:rPr>
      <w:b/>
      <w:bCs/>
      <w:smallCaps/>
      <w:color w:val="2F5496" w:themeColor="accent1" w:themeShade="BF"/>
      <w:spacing w:val="5"/>
    </w:rPr>
  </w:style>
  <w:style w:type="character" w:styleId="Hyperlink">
    <w:name w:val="Hyperlink"/>
    <w:basedOn w:val="DefaultParagraphFont"/>
    <w:uiPriority w:val="99"/>
    <w:unhideWhenUsed/>
    <w:rsid w:val="00E82B9C"/>
    <w:rPr>
      <w:color w:val="0563C1" w:themeColor="hyperlink"/>
      <w:u w:val="single"/>
    </w:rPr>
  </w:style>
  <w:style w:type="character" w:styleId="UnresolvedMention">
    <w:name w:val="Unresolved Mention"/>
    <w:basedOn w:val="DefaultParagraphFont"/>
    <w:uiPriority w:val="99"/>
    <w:semiHidden/>
    <w:unhideWhenUsed/>
    <w:rsid w:val="00E82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87/ai-edu-2023-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80/17439884.2023.216412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77/07356331211059233" TargetMode="External"/><Relationship Id="rId11" Type="http://schemas.openxmlformats.org/officeDocument/2006/relationships/hyperlink" Target="https://doi.org/10.1186/s40594-023-00421-0" TargetMode="External"/><Relationship Id="rId5" Type="http://schemas.openxmlformats.org/officeDocument/2006/relationships/hyperlink" Target="mailto:davendras@unifiji.ac.fj" TargetMode="External"/><Relationship Id="rId10" Type="http://schemas.openxmlformats.org/officeDocument/2006/relationships/hyperlink" Target="https://doi.org/10.1007/s11423-022-10177-5" TargetMode="External"/><Relationship Id="rId4" Type="http://schemas.openxmlformats.org/officeDocument/2006/relationships/webSettings" Target="webSettings.xml"/><Relationship Id="rId9" Type="http://schemas.openxmlformats.org/officeDocument/2006/relationships/hyperlink" Target="https://doi.org/10.1007/s40299-023-0071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5070</Words>
  <Characters>28903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Daven Sharma</dc:creator>
  <cp:keywords/>
  <dc:description/>
  <cp:lastModifiedBy>Daven Sharma</cp:lastModifiedBy>
  <cp:revision>1</cp:revision>
  <dcterms:created xsi:type="dcterms:W3CDTF">2025-12-04T18:47:00Z</dcterms:created>
  <dcterms:modified xsi:type="dcterms:W3CDTF">2025-12-04T19:25:00Z</dcterms:modified>
</cp:coreProperties>
</file>